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73280" w:rsidRPr="003C4A19" w14:paraId="64E35A49" w14:textId="77777777" w:rsidTr="00DD0C9B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73280" w:rsidRPr="003C4A19" w14:paraId="130E4F7B" w14:textId="77777777" w:rsidTr="00DD0C9B">
              <w:tc>
                <w:tcPr>
                  <w:tcW w:w="0" w:type="auto"/>
                  <w:tcMar>
                    <w:top w:w="135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2770E4A9" w14:textId="0170FFAE" w:rsidR="00322EF4" w:rsidRPr="003C4A19" w:rsidRDefault="00322EF4" w:rsidP="00BC727A">
                  <w:pPr>
                    <w:pStyle w:val="Rubrik1"/>
                    <w:rPr>
                      <w:rStyle w:val="Betoning"/>
                      <w:rFonts w:ascii="Arial" w:hAnsi="Arial" w:cs="Arial"/>
                      <w:kern w:val="0"/>
                      <w:sz w:val="21"/>
                      <w:szCs w:val="21"/>
                      <w:lang w:eastAsia="sv-SE"/>
                      <w14:ligatures w14:val="none"/>
                    </w:rPr>
                  </w:pPr>
                  <w:r w:rsidRPr="003C4A19">
                    <w:rPr>
                      <w:rStyle w:val="Stark"/>
                      <w:rFonts w:ascii="Arial" w:hAnsi="Arial" w:cs="Arial"/>
                      <w:b w:val="0"/>
                      <w:bCs w:val="0"/>
                      <w:color w:val="000000"/>
                      <w:sz w:val="21"/>
                      <w:szCs w:val="21"/>
                    </w:rPr>
                    <w:t>PRESSMEDDELANDE</w:t>
                  </w:r>
                  <w:r w:rsidR="00BC727A" w:rsidRPr="003C4A19">
                    <w:rPr>
                      <w:rStyle w:val="Stark"/>
                      <w:rFonts w:ascii="Arial" w:hAnsi="Arial" w:cs="Arial"/>
                      <w:sz w:val="21"/>
                      <w:szCs w:val="21"/>
                    </w:rPr>
                    <w:br/>
                  </w:r>
                  <w:r w:rsidRPr="003C4A19">
                    <w:rPr>
                      <w:rStyle w:val="Betoning"/>
                      <w:rFonts w:ascii="Arial" w:hAnsi="Arial" w:cs="Arial"/>
                      <w:color w:val="000000"/>
                      <w:kern w:val="0"/>
                      <w:sz w:val="21"/>
                      <w:szCs w:val="21"/>
                      <w:lang w:eastAsia="sv-SE"/>
                      <w14:ligatures w14:val="none"/>
                    </w:rPr>
                    <w:t>2025-10-0</w:t>
                  </w:r>
                  <w:r w:rsidR="00C70EE1" w:rsidRPr="003C4A19">
                    <w:rPr>
                      <w:rStyle w:val="Betoning"/>
                      <w:rFonts w:ascii="Arial" w:hAnsi="Arial" w:cs="Arial"/>
                      <w:color w:val="000000"/>
                      <w:kern w:val="0"/>
                      <w:sz w:val="21"/>
                      <w:szCs w:val="21"/>
                      <w:lang w:eastAsia="sv-SE"/>
                      <w14:ligatures w14:val="none"/>
                    </w:rPr>
                    <w:t>6</w:t>
                  </w:r>
                </w:p>
                <w:p w14:paraId="4001F5A2" w14:textId="7C3567F7" w:rsidR="00322EF4" w:rsidRPr="003C4A19" w:rsidRDefault="00322EF4" w:rsidP="00322EF4">
                  <w:pPr>
                    <w:pStyle w:val="Normalwebb"/>
                    <w:spacing w:before="150" w:beforeAutospacing="0" w:after="150" w:afterAutospacing="0" w:line="315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C4A19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Nya samarbetsformer kring avancerad digitalisering inom hälsa</w:t>
                  </w:r>
                </w:p>
                <w:p w14:paraId="4E3F9FA4" w14:textId="690F8E65" w:rsidR="008F6D0A" w:rsidRPr="003C4A19" w:rsidRDefault="000802D5" w:rsidP="000802D5">
                  <w:pPr>
                    <w:pStyle w:val="Normalwebb"/>
                    <w:rPr>
                      <w:rFonts w:ascii="Arial" w:hAnsi="Arial" w:cs="Arial"/>
                      <w:i/>
                      <w:iCs/>
                      <w:color w:val="000000" w:themeColor="text1"/>
                      <w:sz w:val="21"/>
                      <w:szCs w:val="21"/>
                    </w:rPr>
                  </w:pPr>
                  <w:proofErr w:type="spellStart"/>
                  <w:r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>MedTech</w:t>
                  </w:r>
                  <w:proofErr w:type="spellEnd"/>
                  <w:r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>Connectivity</w:t>
                  </w:r>
                  <w:proofErr w:type="spellEnd"/>
                  <w:r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>Sandbox</w:t>
                  </w:r>
                  <w:proofErr w:type="spellEnd"/>
                  <w:r w:rsidR="00FF02D8"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>,</w:t>
                  </w:r>
                  <w:r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 xml:space="preserve"> som drivs av </w:t>
                  </w:r>
                  <w:r w:rsidR="00C70EE1"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 xml:space="preserve">Teknikmarknad Campus </w:t>
                  </w:r>
                  <w:r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>KTH och Ericsson</w:t>
                  </w:r>
                  <w:r w:rsidR="00FF02D8"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>,</w:t>
                  </w:r>
                  <w:r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> har inlett</w:t>
                  </w:r>
                  <w:r w:rsidRPr="003C4A19"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</w:rPr>
                    <w:t xml:space="preserve"> samarbete med </w:t>
                  </w:r>
                  <w:proofErr w:type="spellStart"/>
                  <w:r w:rsidRPr="003C4A19"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</w:rPr>
                    <w:t>HSVN</w:t>
                  </w:r>
                  <w:proofErr w:type="spellEnd"/>
                  <w:r w:rsidRPr="003C4A19"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</w:rPr>
                    <w:t xml:space="preserve"> – </w:t>
                  </w:r>
                  <w:r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>Hälso- och sjukvårdsnätverket</w:t>
                  </w:r>
                  <w:r w:rsidR="002D78E2" w:rsidRPr="003C4A19">
                    <w:rPr>
                      <w:rStyle w:val="Betoning"/>
                      <w:rFonts w:ascii="Arial" w:hAnsi="Arial" w:cs="Arial"/>
                      <w:color w:val="000000" w:themeColor="text1"/>
                      <w:sz w:val="21"/>
                      <w:szCs w:val="21"/>
                    </w:rPr>
                    <w:t>.</w:t>
                  </w:r>
                  <w:r w:rsidR="003C4A19">
                    <w:rPr>
                      <w:rStyle w:val="Betoning"/>
                      <w:rFonts w:ascii="Arial" w:hAnsi="Arial" w:cs="Arial"/>
                      <w:color w:val="000000" w:themeColor="text1"/>
                      <w:sz w:val="21"/>
                      <w:szCs w:val="21"/>
                    </w:rPr>
                    <w:br/>
                  </w:r>
                  <w:r w:rsidR="002D78E2"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 xml:space="preserve">Syftet är att </w:t>
                  </w:r>
                  <w:r w:rsidR="008F6D0A"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 xml:space="preserve">säkerställa att invånarnas </w:t>
                  </w:r>
                  <w:r w:rsidR="0018285C"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>behov</w:t>
                  </w:r>
                  <w:r w:rsidR="002D78E2"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="008F6D0A"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 xml:space="preserve">blir en central del </w:t>
                  </w:r>
                  <w:r w:rsidR="002D78E2"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t>i digitaliseringsutvecklingen.</w:t>
                  </w:r>
                  <w:r w:rsidR="00D17D43" w:rsidRPr="003C4A19">
                    <w:rPr>
                      <w:rStyle w:val="Betoning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br/>
                  </w:r>
                  <w:r w:rsidR="002D78E2" w:rsidRPr="003C4A19">
                    <w:rPr>
                      <w:rStyle w:val="Stark"/>
                      <w:rFonts w:ascii="Arial" w:eastAsiaTheme="majorEastAsia" w:hAnsi="Arial" w:cs="Arial"/>
                      <w:color w:val="000000" w:themeColor="text1"/>
                      <w:sz w:val="21"/>
                      <w:szCs w:val="21"/>
                    </w:rPr>
                    <w:br/>
                  </w:r>
                  <w:r w:rsidR="008F6D0A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Tillsammans ska de utforska nya tekniska lösningar där invånarbehoven är i fokus</w:t>
                  </w:r>
                  <w:r w:rsid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 w:rsidR="008F6D0A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för att skapa en mer sammanhållen och effektiv digital vård i hemmet</w:t>
                  </w:r>
                  <w:r w:rsid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.</w:t>
                  </w:r>
                </w:p>
                <w:p w14:paraId="57339372" w14:textId="6FDCB72E" w:rsidR="003332A2" w:rsidRPr="003C4A19" w:rsidRDefault="003332A2" w:rsidP="00A565F8">
                  <w:pPr>
                    <w:pStyle w:val="Normalwebb"/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”- Om invånarna inte får </w:t>
                  </w:r>
                  <w:r w:rsidR="00B57670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vara med i utvecklingsdiskussionerna och </w:t>
                  </w:r>
                  <w:r w:rsidR="00643155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lyfta</w:t>
                  </w: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sina behov så kommer inte de tekniska lösningar </w:t>
                  </w:r>
                  <w:r w:rsidR="00A565F8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bidra till att </w:t>
                  </w: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skapa en </w:t>
                  </w:r>
                  <w:r w:rsidR="00E07377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god och nära</w:t>
                  </w: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sjukvård och en ökad livskvalité för invånarna</w:t>
                  </w:r>
                  <w:r w:rsidR="00A565F8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”, säger Maria Lindqvist, </w:t>
                  </w:r>
                  <w:proofErr w:type="spellStart"/>
                  <w:r w:rsidR="00A565F8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HSVN</w:t>
                  </w:r>
                  <w:proofErr w:type="spellEnd"/>
                  <w:r w:rsidR="00A565F8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.</w:t>
                  </w:r>
                </w:p>
                <w:p w14:paraId="70A8DBB7" w14:textId="29B2FCD7" w:rsidR="00B57670" w:rsidRPr="003C4A19" w:rsidRDefault="00B57670" w:rsidP="00A565F8">
                  <w:pPr>
                    <w:pStyle w:val="Normalwebb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Hon fortsätter:</w:t>
                  </w:r>
                </w:p>
                <w:p w14:paraId="73652A1E" w14:textId="3623A122" w:rsidR="00B57670" w:rsidRPr="003C4A19" w:rsidRDefault="00B57670" w:rsidP="00B57670">
                  <w:pPr>
                    <w:pStyle w:val="Normalwebb"/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”- </w:t>
                  </w:r>
                  <w:proofErr w:type="spellStart"/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HSVN</w:t>
                  </w:r>
                  <w:proofErr w:type="spellEnd"/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kommer att kunna bidra med information om många behov som invånare har på grund av psykiska och fysiska sjukdomar, äldre och unga med mera) samt vara en delaktig projektpart”.</w:t>
                  </w:r>
                </w:p>
                <w:p w14:paraId="0CC4C278" w14:textId="2C010153" w:rsidR="00B57670" w:rsidRPr="003C4A19" w:rsidRDefault="00B57670" w:rsidP="00A565F8">
                  <w:pPr>
                    <w:pStyle w:val="Normalwebb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Bengt </w:t>
                  </w:r>
                  <w:r w:rsidR="00DE77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Simonsson</w:t>
                  </w:r>
                  <w:r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på </w:t>
                  </w:r>
                  <w:proofErr w:type="spellStart"/>
                  <w:r w:rsidR="00C70EE1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MedTech</w:t>
                  </w:r>
                  <w:proofErr w:type="spellEnd"/>
                  <w:r w:rsidR="00C70EE1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70EE1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Connectivity</w:t>
                  </w:r>
                  <w:proofErr w:type="spellEnd"/>
                  <w:r w:rsidR="00C70EE1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70EE1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Sandbox</w:t>
                  </w:r>
                  <w:proofErr w:type="spellEnd"/>
                  <w:r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berättar:</w:t>
                  </w:r>
                </w:p>
                <w:p w14:paraId="20196797" w14:textId="37BF2FC4" w:rsidR="002D78E2" w:rsidRPr="003C4A19" w:rsidRDefault="00B57670" w:rsidP="00B57670">
                  <w:pPr>
                    <w:pStyle w:val="Normalwebb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”- Samarbetet innebär ett högt värderat tillskott i insikter – för bägge parter.</w:t>
                  </w:r>
                  <w:r w:rsidR="00E07377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</w:t>
                  </w:r>
                  <w:r w:rsidR="00C70EE1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Deltagarna i </w:t>
                  </w:r>
                  <w:proofErr w:type="spellStart"/>
                  <w:r w:rsidR="00C70EE1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MedTech</w:t>
                  </w:r>
                  <w:proofErr w:type="spellEnd"/>
                  <w:r w:rsidR="00C70EE1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70EE1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Connectivity</w:t>
                  </w:r>
                  <w:proofErr w:type="spellEnd"/>
                  <w:r w:rsidR="00C70EE1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70EE1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Sandbox</w:t>
                  </w:r>
                  <w:proofErr w:type="spellEnd"/>
                  <w:r w:rsidR="00C70EE1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</w:t>
                  </w:r>
                  <w:r w:rsidR="00A565F8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har kunskapen </w:t>
                  </w:r>
                  <w:r w:rsidR="00E07377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för</w:t>
                  </w:r>
                  <w:r w:rsidR="00A565F8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att bygga en strategisk plan som integrerar både planering, teknologi, finansiering för en effektiv utbyggnad </w:t>
                  </w:r>
                  <w:r w:rsidR="00E07377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den digitala infrastrukturen</w:t>
                  </w:r>
                  <w:r w:rsidR="0018285C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. Vi kommer att agera som samverkansplattform</w:t>
                  </w: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”.</w:t>
                  </w:r>
                  <w:r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 w:rsidR="000802D5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 w:rsidR="00D17D43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”- </w:t>
                  </w:r>
                  <w:r w:rsidR="00E07377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Det här är ett viktigt steg för Sveriges framtid</w:t>
                  </w: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.</w:t>
                  </w:r>
                  <w:r w:rsidR="00E07377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Att maximera nyttan </w:t>
                  </w:r>
                  <w:r w:rsidR="0018285C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och </w:t>
                  </w:r>
                  <w:r w:rsidR="00E07377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bidra till utvecklingen av innovativ</w:t>
                  </w:r>
                  <w:r w:rsidR="00BB063A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a</w:t>
                  </w:r>
                  <w:r w:rsidR="00E07377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och hållbara </w:t>
                  </w: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kommuner, </w:t>
                  </w:r>
                  <w:r w:rsidR="00E07377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regioner</w:t>
                  </w: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, företag</w:t>
                  </w:r>
                  <w:r w:rsidR="00BB063A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, vård</w:t>
                  </w:r>
                  <w:r w:rsidR="00E07377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samt maximera nyttan för invånaren</w:t>
                  </w:r>
                  <w:r w:rsidR="00BB063A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”</w:t>
                  </w:r>
                  <w:r w:rsidR="00FE11B2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,</w:t>
                  </w:r>
                  <w:r w:rsidR="00FE11B2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instämmer både Bengt och Maria.</w:t>
                  </w:r>
                </w:p>
                <w:p w14:paraId="193113EC" w14:textId="17EDDA6A" w:rsidR="00323734" w:rsidRPr="003C4A19" w:rsidRDefault="00323734" w:rsidP="00166868">
                  <w:pPr>
                    <w:pStyle w:val="Normalwebb"/>
                    <w:spacing w:line="360" w:lineRule="auto"/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4A19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</w:rPr>
                    <w:t>MedTech</w:t>
                  </w:r>
                  <w:proofErr w:type="spellEnd"/>
                  <w:r w:rsidRPr="003C4A19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C4A19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</w:rPr>
                    <w:t>Connectivity</w:t>
                  </w:r>
                  <w:proofErr w:type="spellEnd"/>
                  <w:r w:rsidRPr="003C4A19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C4A19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</w:rPr>
                    <w:t>Sandbox</w:t>
                  </w:r>
                  <w:proofErr w:type="spellEnd"/>
                  <w:r w:rsidRPr="003C4A19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</w:rPr>
                    <w:t xml:space="preserve"> </w:t>
                  </w:r>
                  <w:r w:rsidRPr="003C4A19">
                    <w:rPr>
                      <w:rFonts w:ascii="Arial" w:hAnsi="Arial" w:cs="Arial"/>
                      <w:i/>
                      <w:iCs/>
                      <w:sz w:val="21"/>
                      <w:szCs w:val="21"/>
                    </w:rPr>
                    <w:t>är en plattform för samverkan</w:t>
                  </w:r>
                  <w:r w:rsidRPr="003C4A19">
                    <w:rPr>
                      <w:rFonts w:ascii="Arial" w:hAnsi="Arial" w:cs="Arial"/>
                      <w:i/>
                      <w:iCs/>
                      <w:sz w:val="21"/>
                      <w:szCs w:val="21"/>
                    </w:rPr>
                    <w:br/>
                  </w: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som </w:t>
                  </w:r>
                  <w:r w:rsidR="00C70EE1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Teknikmarknad Campus KTH</w:t>
                  </w: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</w:t>
                  </w:r>
                  <w:r w:rsidR="00C70EE1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och Ericsson startade redan 2022</w:t>
                  </w: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.</w:t>
                  </w:r>
                  <w:r w:rsidR="00BB063A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Det är e</w:t>
                  </w: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tt initiativ som samlar företag, offentlig sektor, branschorganisationer, standardiseringsorganisationer och myndigheter för att utforska nya tekniska lösningar och samverkansformer. Genom att dela erfarenheter, utbyta kunskap och testa nya koncept i en öppen och transparent miljö kan vi tillsammans skapa en mer sammanhållen och effektiv digital vård.</w:t>
                  </w:r>
                </w:p>
                <w:p w14:paraId="15632FE5" w14:textId="2C2A8431" w:rsidR="00323734" w:rsidRPr="003C4A19" w:rsidRDefault="00323734" w:rsidP="00166868">
                  <w:pPr>
                    <w:pStyle w:val="Normalwebb"/>
                    <w:spacing w:before="150" w:beforeAutospacing="0" w:after="150" w:afterAutospacing="0" w:line="360" w:lineRule="auto"/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4A19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1"/>
                      <w:szCs w:val="21"/>
                    </w:rPr>
                    <w:t>HSVN</w:t>
                  </w:r>
                  <w:proofErr w:type="spellEnd"/>
                  <w:r w:rsidRPr="003C4A19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1"/>
                      <w:szCs w:val="21"/>
                    </w:rPr>
                    <w:t xml:space="preserve"> – Hälso- och sjukvårdsnätverket</w:t>
                  </w: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är</w:t>
                  </w:r>
                  <w:r w:rsidR="00E07377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en mötesplats som </w:t>
                  </w: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br/>
                    <w:t>vill bidra till ett samhälle där all hälso- och sjukvård och vårdprodukter samt vårdtjänster utvecklas utifrån invånarbehov.</w:t>
                  </w:r>
                  <w:r w:rsidR="003E61E7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Nätverket öppnar dörrar mellan aktörer. </w:t>
                  </w:r>
                  <w:r w:rsidR="0018285C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Bland medlemmarna finns både privata och offentliga aktörer inom hälso- och sjukvård, politiker med flera - men i fokus är de 139 patient- och anhörigföreningarna</w:t>
                  </w:r>
                  <w:r w:rsidR="00FE11B2"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.</w:t>
                  </w:r>
                </w:p>
                <w:p w14:paraId="2E204BFE" w14:textId="3E4BD8C9" w:rsidR="00A56411" w:rsidRPr="003C4A19" w:rsidRDefault="00322EF4" w:rsidP="00643155">
                  <w:pPr>
                    <w:pStyle w:val="Normalwebb"/>
                    <w:tabs>
                      <w:tab w:val="left" w:pos="5403"/>
                    </w:tabs>
                    <w:spacing w:before="150" w:beforeAutospacing="0" w:after="150" w:afterAutospacing="0"/>
                    <w:ind w:right="-343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3C4A19">
                    <w:rPr>
                      <w:rStyle w:val="Stark"/>
                      <w:rFonts w:ascii="Arial" w:eastAsiaTheme="majorEastAsia" w:hAnsi="Arial" w:cs="Arial"/>
                      <w:color w:val="000000"/>
                      <w:sz w:val="21"/>
                      <w:szCs w:val="21"/>
                    </w:rPr>
                    <w:t>Kontakt för mer information:</w:t>
                  </w:r>
                  <w:r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Bengt Simonsson, </w:t>
                  </w:r>
                  <w:r w:rsidRPr="003C4A19"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</w:rPr>
                    <w:t>T</w:t>
                  </w:r>
                  <w:r w:rsidR="00C70EE1" w:rsidRPr="003C4A19"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</w:rPr>
                    <w:t>ekniksamordnare</w:t>
                  </w:r>
                  <w:r w:rsidR="00BB063A" w:rsidRPr="003C4A19"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</w:rPr>
                    <w:t xml:space="preserve">     </w:t>
                  </w:r>
                  <w:r w:rsidR="00BB063A" w:rsidRPr="003C4A19">
                    <w:rPr>
                      <w:rFonts w:ascii="Arial" w:hAnsi="Arial" w:cs="Arial"/>
                      <w:color w:val="EE0000"/>
                      <w:sz w:val="21"/>
                      <w:szCs w:val="21"/>
                    </w:rPr>
                    <w:t xml:space="preserve">                   </w:t>
                  </w:r>
                  <w:r w:rsidR="00BB063A" w:rsidRPr="003C4A19"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</w:rPr>
                    <w:t>Maria Lindqvist, Grundare</w:t>
                  </w:r>
                  <w:r w:rsidR="00643155" w:rsidRPr="003C4A19"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</w:rPr>
                    <w:br/>
                  </w:r>
                  <w:r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Teknikmarknad Campus KTH</w:t>
                  </w:r>
                  <w:r w:rsidR="00BB063A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                                    </w:t>
                  </w:r>
                  <w:proofErr w:type="spellStart"/>
                  <w:r w:rsidR="00BB063A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HSVN</w:t>
                  </w:r>
                  <w:proofErr w:type="spellEnd"/>
                  <w:r w:rsidR="00BB063A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– Hälso- och</w:t>
                  </w:r>
                  <w:r w:rsidR="00643155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r w:rsidR="00BB063A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sjukvårdsnätverket</w:t>
                  </w:r>
                  <w:r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Tel. </w:t>
                  </w:r>
                  <w:r w:rsidRPr="003C4A19">
                    <w:rPr>
                      <w:rFonts w:ascii="Arial" w:hAnsi="Arial" w:cs="Arial"/>
                      <w:color w:val="202020"/>
                      <w:sz w:val="21"/>
                      <w:szCs w:val="21"/>
                    </w:rPr>
                    <w:t>070-572 33 00</w:t>
                  </w:r>
                  <w:r w:rsidR="00BB063A" w:rsidRPr="003C4A19">
                    <w:rPr>
                      <w:rFonts w:ascii="Arial" w:hAnsi="Arial" w:cs="Arial"/>
                      <w:color w:val="202020"/>
                      <w:sz w:val="21"/>
                      <w:szCs w:val="21"/>
                    </w:rPr>
                    <w:t xml:space="preserve">                                                      Tel. 070-288 80 54</w:t>
                  </w:r>
                  <w:r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 w:rsidR="0018285C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E-mail: </w:t>
                  </w:r>
                  <w:hyperlink r:id="rId7" w:history="1">
                    <w:r w:rsidR="0018285C" w:rsidRPr="003C4A19">
                      <w:rPr>
                        <w:rStyle w:val="Hyperlnk"/>
                        <w:rFonts w:ascii="Arial" w:hAnsi="Arial" w:cs="Arial"/>
                        <w:sz w:val="21"/>
                        <w:szCs w:val="21"/>
                      </w:rPr>
                      <w:t>bengt.simonsson@teknikmarknad.se</w:t>
                    </w:r>
                  </w:hyperlink>
                  <w:r w:rsidR="00BB063A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            E-mail: maria@hsvn.se</w:t>
                  </w:r>
                  <w:r w:rsidR="0018285C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 w:rsidR="000802D5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Hemsida</w:t>
                  </w:r>
                  <w:r w:rsidR="00C70EE1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: www.5gibyggnad.se</w:t>
                  </w:r>
                  <w:r w:rsidR="00BB063A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                      </w:t>
                  </w:r>
                  <w:r w:rsidR="00C70EE1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            </w:t>
                  </w:r>
                  <w:r w:rsidR="00BB063A" w:rsidRPr="003C4A1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Hemsidan: www.hsvn.se</w:t>
                  </w:r>
                </w:p>
                <w:p w14:paraId="6C398719" w14:textId="77777777" w:rsidR="00C70EE1" w:rsidRPr="003C4A19" w:rsidRDefault="00C70EE1" w:rsidP="00C72E0A">
                  <w:pPr>
                    <w:pStyle w:val="Normalwebb"/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</w:pPr>
                </w:p>
                <w:p w14:paraId="47F5CEEC" w14:textId="7EC87B92" w:rsidR="00372C0B" w:rsidRPr="003C4A19" w:rsidRDefault="00372C0B" w:rsidP="00C72E0A">
                  <w:pPr>
                    <w:pStyle w:val="Normalwebb"/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Bilder:</w:t>
                  </w:r>
                </w:p>
                <w:p w14:paraId="201BAA17" w14:textId="09430850" w:rsidR="00372C0B" w:rsidRPr="003C4A19" w:rsidRDefault="00372C0B" w:rsidP="00C72E0A">
                  <w:pPr>
                    <w:pStyle w:val="Normalwebb"/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3C4A19">
                    <w:rPr>
                      <w:rFonts w:ascii="Arial" w:hAnsi="Arial" w:cs="Arial"/>
                      <w:i/>
                      <w:iCs/>
                      <w:noProof/>
                      <w:color w:val="000000"/>
                      <w:sz w:val="21"/>
                      <w:szCs w:val="21"/>
                      <w14:ligatures w14:val="standardContextual"/>
                    </w:rPr>
                    <w:drawing>
                      <wp:inline distT="0" distB="0" distL="0" distR="0" wp14:anchorId="37D378A7" wp14:editId="210FCDDC">
                        <wp:extent cx="1913642" cy="1230198"/>
                        <wp:effectExtent l="0" t="0" r="4445" b="1905"/>
                        <wp:docPr id="940008757" name="Bildobjekt 1" descr="Maria Lindqvist, Grundare av HSV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0008757" name="Bildobjekt 1" descr="Maria Lindqvist, Grundare av HSVN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937646" cy="1245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A19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C4A19">
                    <w:rPr>
                      <w:rFonts w:ascii="Arial" w:hAnsi="Arial" w:cs="Arial"/>
                      <w:i/>
                      <w:iCs/>
                      <w:noProof/>
                      <w:color w:val="000000"/>
                      <w:sz w:val="21"/>
                      <w:szCs w:val="21"/>
                      <w14:ligatures w14:val="standardContextual"/>
                    </w:rPr>
                    <w:drawing>
                      <wp:inline distT="0" distB="0" distL="0" distR="0" wp14:anchorId="6BA2AAF8" wp14:editId="4BD76378">
                        <wp:extent cx="3148727" cy="1088796"/>
                        <wp:effectExtent l="0" t="0" r="1270" b="3810"/>
                        <wp:docPr id="979622636" name="Bildobjekt 2" descr="En bild som visar Teckensnitt, text, logotyp, Grafik&#10;&#10;AI-genererat innehåll kan vara felaktig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9622636" name="Bildobjekt 2" descr="En bild som visar Teckensnitt, text, logotyp, Grafik&#10;&#10;AI-genererat innehåll kan vara felaktigt.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65032" cy="10944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pPr w:leftFromText="45" w:rightFromText="45" w:vertAnchor="text" w:tblpXSpec="right" w:tblpYSpec="center"/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C73280" w:rsidRPr="003C4A19" w14:paraId="2C55D360" w14:textId="77777777" w:rsidTr="00DD0C9B">
                    <w:tc>
                      <w:tcPr>
                        <w:tcW w:w="8175" w:type="dxa"/>
                        <w:shd w:val="clear" w:color="auto" w:fill="FFFFFF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4CA335DA" w14:textId="10381A2E" w:rsidR="00C73280" w:rsidRPr="003C4A19" w:rsidRDefault="00C73280" w:rsidP="00DD0C9B">
                        <w:pPr>
                          <w:pStyle w:val="Rubrik1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sv-SE"/>
                          </w:rPr>
                        </w:pPr>
                      </w:p>
                    </w:tc>
                  </w:tr>
                </w:tbl>
                <w:p w14:paraId="739AC1EB" w14:textId="77777777" w:rsidR="00C73280" w:rsidRPr="003C4A19" w:rsidRDefault="00C73280" w:rsidP="00DD0C9B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1"/>
                      <w:szCs w:val="21"/>
                      <w:lang w:eastAsia="sv-SE"/>
                      <w14:ligatures w14:val="none"/>
                    </w:rPr>
                  </w:pPr>
                </w:p>
              </w:tc>
            </w:tr>
            <w:tr w:rsidR="00CD0116" w:rsidRPr="003C4A19" w14:paraId="6D32DD5A" w14:textId="77777777" w:rsidTr="00DD0C9B">
              <w:tc>
                <w:tcPr>
                  <w:tcW w:w="0" w:type="auto"/>
                  <w:tcMar>
                    <w:top w:w="135" w:type="dxa"/>
                    <w:left w:w="270" w:type="dxa"/>
                    <w:bottom w:w="135" w:type="dxa"/>
                    <w:right w:w="270" w:type="dxa"/>
                  </w:tcMar>
                </w:tcPr>
                <w:p w14:paraId="394D7FF6" w14:textId="7A677DA3" w:rsidR="00CD0116" w:rsidRPr="003C4A19" w:rsidRDefault="00C70EE1" w:rsidP="00322EF4">
                  <w:pPr>
                    <w:pStyle w:val="Rubrik1"/>
                    <w:rPr>
                      <w:rStyle w:val="Stark"/>
                      <w:rFonts w:ascii="Arial" w:hAnsi="Arial" w:cs="Arial"/>
                      <w:b w:val="0"/>
                      <w:bCs w:val="0"/>
                      <w:color w:val="000000"/>
                      <w:sz w:val="21"/>
                      <w:szCs w:val="21"/>
                    </w:rPr>
                  </w:pPr>
                  <w:r w:rsidRPr="003C4A19">
                    <w:rPr>
                      <w:rFonts w:ascii="Arial" w:hAnsi="Arial" w:cs="Arial"/>
                      <w:noProof/>
                      <w:sz w:val="21"/>
                      <w:szCs w:val="21"/>
                    </w:rPr>
                    <w:lastRenderedPageBreak/>
                    <w:drawing>
                      <wp:anchor distT="0" distB="0" distL="114300" distR="114300" simplePos="0" relativeHeight="251659264" behindDoc="0" locked="0" layoutInCell="1" allowOverlap="1" wp14:anchorId="6F4BE2C7" wp14:editId="4D47E334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-1270</wp:posOffset>
                        </wp:positionV>
                        <wp:extent cx="2465069" cy="1848802"/>
                        <wp:effectExtent l="3175" t="0" r="0" b="0"/>
                        <wp:wrapNone/>
                        <wp:docPr id="746519463" name="Bildobjekt 2" descr="En bild som visar person, Människoansikte, klädsel, vägg&#10;&#10;AI-genererat innehåll kan vara felaktig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6519463" name="Bildobjekt 2" descr="En bild som visar person, Människoansikte, klädsel, vägg&#10;&#10;AI-genererat innehåll kan vara felaktigt.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498077" cy="18735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72C0B" w:rsidRPr="003C4A19" w14:paraId="23717C7E" w14:textId="77777777" w:rsidTr="00DD0C9B">
              <w:tc>
                <w:tcPr>
                  <w:tcW w:w="0" w:type="auto"/>
                  <w:tcMar>
                    <w:top w:w="135" w:type="dxa"/>
                    <w:left w:w="270" w:type="dxa"/>
                    <w:bottom w:w="135" w:type="dxa"/>
                    <w:right w:w="270" w:type="dxa"/>
                  </w:tcMar>
                </w:tcPr>
                <w:p w14:paraId="5182D6A6" w14:textId="495CB580" w:rsidR="00372C0B" w:rsidRPr="003C4A19" w:rsidRDefault="00372C0B" w:rsidP="00322EF4">
                  <w:pPr>
                    <w:pStyle w:val="Rubrik1"/>
                    <w:rPr>
                      <w:rStyle w:val="Stark"/>
                      <w:rFonts w:ascii="Arial" w:hAnsi="Arial" w:cs="Arial"/>
                      <w:b w:val="0"/>
                      <w:bCs w:val="0"/>
                      <w:color w:val="EE0000"/>
                      <w:sz w:val="21"/>
                      <w:szCs w:val="21"/>
                    </w:rPr>
                  </w:pPr>
                </w:p>
              </w:tc>
            </w:tr>
          </w:tbl>
          <w:p w14:paraId="270BE5F2" w14:textId="77777777" w:rsidR="00C73280" w:rsidRPr="003C4A19" w:rsidRDefault="00C73280" w:rsidP="00DD0C9B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kern w:val="0"/>
                <w:sz w:val="21"/>
                <w:szCs w:val="21"/>
                <w:lang w:eastAsia="sv-SE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73280" w:rsidRPr="003C4A19" w14:paraId="64DABF10" w14:textId="77777777" w:rsidTr="00DD0C9B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73280" w:rsidRPr="003C4A19" w14:paraId="52B0676C" w14:textId="77777777" w:rsidTr="00DD0C9B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73280" w:rsidRPr="003C4A19" w14:paraId="2F282E2C" w14:textId="77777777" w:rsidTr="00DD0C9B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5A7BDC6" w14:textId="7788D1B3" w:rsidR="00C73280" w:rsidRPr="003C4A19" w:rsidRDefault="00C73280" w:rsidP="00DD0C9B">
                              <w:pPr>
                                <w:pStyle w:val="Normalwebb"/>
                                <w:spacing w:before="150" w:beforeAutospacing="0" w:after="150" w:afterAutospacing="0" w:line="315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33800E46" w14:textId="77777777" w:rsidR="00C73280" w:rsidRPr="003C4A19" w:rsidRDefault="00C73280" w:rsidP="00DD0C9B">
                        <w:pP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547C8BD3" w14:textId="77777777" w:rsidR="00C73280" w:rsidRPr="003C4A19" w:rsidRDefault="00C73280" w:rsidP="00DD0C9B">
                  <w:pPr>
                    <w:rPr>
                      <w:rFonts w:ascii="Arial" w:hAnsi="Arial" w:cs="Arial"/>
                      <w:vanish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73280" w:rsidRPr="003C4A19" w14:paraId="35AD672F" w14:textId="77777777" w:rsidTr="00DD0C9B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73280" w:rsidRPr="003C4A19" w14:paraId="139BD623" w14:textId="77777777" w:rsidTr="00DD0C9B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490D0594" w14:textId="1CDABF88" w:rsidR="00C73280" w:rsidRPr="003C4A19" w:rsidRDefault="00C73280" w:rsidP="00DD0C9B">
                              <w:pPr>
                                <w:spacing w:line="315" w:lineRule="atLeast"/>
                                <w:rPr>
                                  <w:rFonts w:ascii="Arial" w:hAnsi="Arial" w:cs="Arial"/>
                                  <w:color w:val="202020"/>
                                  <w:sz w:val="21"/>
                                  <w:szCs w:val="21"/>
                                </w:rPr>
                              </w:pPr>
                              <w:r w:rsidRPr="003C4A19">
                                <w:rPr>
                                  <w:rFonts w:ascii="Arial" w:hAnsi="Arial" w:cs="Arial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5C72A83F" w14:textId="77777777" w:rsidR="00C73280" w:rsidRPr="003C4A19" w:rsidRDefault="00C73280" w:rsidP="00DD0C9B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585C37EF" w14:textId="77777777" w:rsidR="00C73280" w:rsidRPr="003C4A19" w:rsidRDefault="00C73280" w:rsidP="00DD0C9B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1"/>
                      <w:szCs w:val="21"/>
                      <w:lang w:eastAsia="sv-SE"/>
                      <w14:ligatures w14:val="none"/>
                    </w:rPr>
                  </w:pPr>
                </w:p>
              </w:tc>
            </w:tr>
          </w:tbl>
          <w:p w14:paraId="36E0B097" w14:textId="77777777" w:rsidR="00C73280" w:rsidRPr="003C4A19" w:rsidRDefault="00C73280" w:rsidP="00DD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v-SE"/>
                <w14:ligatures w14:val="none"/>
              </w:rPr>
            </w:pPr>
          </w:p>
        </w:tc>
      </w:tr>
      <w:tr w:rsidR="00C73280" w:rsidRPr="003C4A19" w14:paraId="7066C4AB" w14:textId="77777777" w:rsidTr="00DD0C9B">
        <w:trPr>
          <w:hidden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p w14:paraId="010B7CAA" w14:textId="77777777" w:rsidR="00C73280" w:rsidRPr="003C4A19" w:rsidRDefault="00C73280" w:rsidP="00DD0C9B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kern w:val="0"/>
                <w:sz w:val="21"/>
                <w:szCs w:val="21"/>
                <w:lang w:eastAsia="sv-SE"/>
                <w14:ligatures w14:val="none"/>
              </w:rPr>
            </w:pPr>
          </w:p>
          <w:p w14:paraId="30BA2694" w14:textId="77777777" w:rsidR="00C73280" w:rsidRPr="003C4A19" w:rsidRDefault="00C73280" w:rsidP="00DD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v-SE"/>
                <w14:ligatures w14:val="none"/>
              </w:rPr>
            </w:pPr>
          </w:p>
        </w:tc>
      </w:tr>
    </w:tbl>
    <w:p w14:paraId="3193D5B6" w14:textId="77777777" w:rsidR="00C73280" w:rsidRPr="003C4A19" w:rsidRDefault="00C73280" w:rsidP="00C73280">
      <w:pPr>
        <w:rPr>
          <w:rFonts w:ascii="Arial" w:hAnsi="Arial" w:cs="Arial"/>
          <w:sz w:val="21"/>
          <w:szCs w:val="21"/>
        </w:rPr>
      </w:pPr>
    </w:p>
    <w:p w14:paraId="05E973F8" w14:textId="4B8F7921" w:rsidR="004F1437" w:rsidRPr="003C4A19" w:rsidRDefault="00C70EE1">
      <w:pPr>
        <w:rPr>
          <w:rFonts w:ascii="Arial" w:hAnsi="Arial" w:cs="Arial"/>
          <w:sz w:val="21"/>
          <w:szCs w:val="21"/>
        </w:rPr>
      </w:pPr>
      <w:r w:rsidRPr="003C4A19">
        <w:rPr>
          <w:rFonts w:ascii="Arial" w:hAnsi="Arial" w:cs="Arial"/>
          <w:noProof/>
          <w:color w:val="20202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5A26BBE1" wp14:editId="1B029F3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71875" cy="957366"/>
            <wp:effectExtent l="0" t="0" r="0" b="0"/>
            <wp:wrapNone/>
            <wp:docPr id="1263950666" name="Bildobjekt 1" descr="En bild som visar text, Teckensnitt, skärmbild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50666" name="Bildobjekt 1" descr="En bild som visar text, Teckensnitt, skärmbild, vit&#10;&#10;AI-genererat innehåll kan vara felaktig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957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437" w:rsidRPr="003C4A19" w:rsidSect="00AD4FC8">
      <w:pgSz w:w="11906" w:h="16838"/>
      <w:pgMar w:top="0" w:right="1134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256F" w14:textId="77777777" w:rsidR="000060D7" w:rsidRDefault="000060D7" w:rsidP="00A56411">
      <w:pPr>
        <w:spacing w:after="0" w:line="240" w:lineRule="auto"/>
      </w:pPr>
      <w:r>
        <w:separator/>
      </w:r>
    </w:p>
  </w:endnote>
  <w:endnote w:type="continuationSeparator" w:id="0">
    <w:p w14:paraId="0CF556FC" w14:textId="77777777" w:rsidR="000060D7" w:rsidRDefault="000060D7" w:rsidP="00A5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959F" w14:textId="77777777" w:rsidR="000060D7" w:rsidRDefault="000060D7" w:rsidP="00A56411">
      <w:pPr>
        <w:spacing w:after="0" w:line="240" w:lineRule="auto"/>
      </w:pPr>
      <w:r>
        <w:separator/>
      </w:r>
    </w:p>
  </w:footnote>
  <w:footnote w:type="continuationSeparator" w:id="0">
    <w:p w14:paraId="31ACA2DD" w14:textId="77777777" w:rsidR="000060D7" w:rsidRDefault="000060D7" w:rsidP="00A56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736"/>
    <w:multiLevelType w:val="multilevel"/>
    <w:tmpl w:val="0BEC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EE73C7"/>
    <w:multiLevelType w:val="multilevel"/>
    <w:tmpl w:val="C67E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428867">
    <w:abstractNumId w:val="0"/>
  </w:num>
  <w:num w:numId="2" w16cid:durableId="425930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80"/>
    <w:rsid w:val="000060D7"/>
    <w:rsid w:val="000802D5"/>
    <w:rsid w:val="000A0CE2"/>
    <w:rsid w:val="00166868"/>
    <w:rsid w:val="0018285C"/>
    <w:rsid w:val="00185766"/>
    <w:rsid w:val="001E0D5B"/>
    <w:rsid w:val="002D78E2"/>
    <w:rsid w:val="00322EF4"/>
    <w:rsid w:val="00323734"/>
    <w:rsid w:val="003332A2"/>
    <w:rsid w:val="00350F5A"/>
    <w:rsid w:val="00372C0B"/>
    <w:rsid w:val="003C4A19"/>
    <w:rsid w:val="003E127F"/>
    <w:rsid w:val="003E61E7"/>
    <w:rsid w:val="004F1437"/>
    <w:rsid w:val="005732C9"/>
    <w:rsid w:val="005D3B41"/>
    <w:rsid w:val="00643155"/>
    <w:rsid w:val="006A6FF6"/>
    <w:rsid w:val="006B5A8B"/>
    <w:rsid w:val="008F6D0A"/>
    <w:rsid w:val="009E0D1A"/>
    <w:rsid w:val="00A437AC"/>
    <w:rsid w:val="00A56411"/>
    <w:rsid w:val="00A565F8"/>
    <w:rsid w:val="00AD4FC8"/>
    <w:rsid w:val="00AE56DD"/>
    <w:rsid w:val="00AF3163"/>
    <w:rsid w:val="00B246DA"/>
    <w:rsid w:val="00B57670"/>
    <w:rsid w:val="00BB063A"/>
    <w:rsid w:val="00BC727A"/>
    <w:rsid w:val="00C70EE1"/>
    <w:rsid w:val="00C72E0A"/>
    <w:rsid w:val="00C73280"/>
    <w:rsid w:val="00CD0116"/>
    <w:rsid w:val="00CD615A"/>
    <w:rsid w:val="00D17D43"/>
    <w:rsid w:val="00D82C2F"/>
    <w:rsid w:val="00D8647D"/>
    <w:rsid w:val="00DE778C"/>
    <w:rsid w:val="00E07377"/>
    <w:rsid w:val="00EB6E17"/>
    <w:rsid w:val="00FB0A34"/>
    <w:rsid w:val="00FE11B2"/>
    <w:rsid w:val="00F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5648E2"/>
  <w15:chartTrackingRefBased/>
  <w15:docId w15:val="{84F24F87-39A9-4B44-8B1C-8F0DE866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80"/>
  </w:style>
  <w:style w:type="paragraph" w:styleId="Rubrik1">
    <w:name w:val="heading 1"/>
    <w:basedOn w:val="Normal"/>
    <w:next w:val="Normal"/>
    <w:link w:val="Rubrik1Char"/>
    <w:uiPriority w:val="9"/>
    <w:qFormat/>
    <w:rsid w:val="00C73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3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3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3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3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3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3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3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3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3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3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3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328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328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328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328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328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328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73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3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3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3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3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328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732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7328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3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328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73280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C7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C73280"/>
    <w:rPr>
      <w:b/>
      <w:bCs/>
    </w:rPr>
  </w:style>
  <w:style w:type="character" w:styleId="Betoning">
    <w:name w:val="Emphasis"/>
    <w:basedOn w:val="Standardstycketeckensnitt"/>
    <w:uiPriority w:val="20"/>
    <w:qFormat/>
    <w:rsid w:val="00C73280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C73280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56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6411"/>
  </w:style>
  <w:style w:type="paragraph" w:styleId="Sidfot">
    <w:name w:val="footer"/>
    <w:basedOn w:val="Normal"/>
    <w:link w:val="SidfotChar"/>
    <w:uiPriority w:val="99"/>
    <w:unhideWhenUsed/>
    <w:rsid w:val="00A56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6411"/>
  </w:style>
  <w:style w:type="character" w:styleId="Olstomnmnande">
    <w:name w:val="Unresolved Mention"/>
    <w:basedOn w:val="Standardstycketeckensnitt"/>
    <w:uiPriority w:val="99"/>
    <w:semiHidden/>
    <w:unhideWhenUsed/>
    <w:rsid w:val="00CD0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ngt.simonsson@teknikmarknad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Lindqvist</dc:creator>
  <cp:keywords/>
  <dc:description/>
  <cp:lastModifiedBy>M Lindqvist</cp:lastModifiedBy>
  <cp:revision>4</cp:revision>
  <dcterms:created xsi:type="dcterms:W3CDTF">2025-10-06T12:01:00Z</dcterms:created>
  <dcterms:modified xsi:type="dcterms:W3CDTF">2025-10-06T16:55:00Z</dcterms:modified>
</cp:coreProperties>
</file>